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p>
      <w:pPr/>
      <w:r>
        <w:rPr>
          <w:i w:val="1"/>
          <w:iCs w:val="1"/>
        </w:rPr>
        <w:t xml:space="preserve">Муромцев, С. А. </w:t>
      </w:r>
      <w:r>
        <w:rPr/>
        <w:t xml:space="preserve">Определение и основное разделение права / С. А. Муромцев. — Москва : Издательство Юрайт, 2024. — 170 с. — (Антология мысли). — ISBN 978-5-534-07311-9.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https://urait.ru/bcode/538273</w:t>
        </w:r>
      </w:hyperlink>
    </w:p>
    <w:p>
      <w:pPr/>
      <w:r>
        <w:rPr>
          <w:i w:val="1"/>
          <w:iCs w:val="1"/>
        </w:rPr>
        <w:t xml:space="preserve">Муромцев, С. А. </w:t>
      </w:r>
      <w:r>
        <w:rPr/>
        <w:t xml:space="preserve">Очерки общей теории гражданского права / С. А. Муромцев. — Москва : Издательство Юрайт, 2024. — 219 с. — (Антология мысли). — ISBN 978-5-534-10197-3.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Relationship Id="rId17" Type="http://schemas.openxmlformats.org/officeDocument/2006/relationships/hyperlink" Target="https://urait.ru/bcode/538273" TargetMode="External"/><Relationship Id="rId18" Type="http://schemas.openxmlformats.org/officeDocument/2006/relationships/hyperlink" Target="https://urait.ru/bcode/541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2024-05-19T11:34:43+03:00</dcterms:created>
  <dcterms:modified xsi:type="dcterms:W3CDTF">2024-05-19T11:34:43+03:00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